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72"/>
        <w:gridCol w:w="1049"/>
        <w:gridCol w:w="2657"/>
      </w:tblGrid>
      <w:tr w:rsidR="00C139F3" w:rsidRPr="00C441BF" w:rsidTr="00473F39">
        <w:trPr>
          <w:trHeight w:val="1061"/>
        </w:trPr>
        <w:tc>
          <w:tcPr>
            <w:tcW w:w="90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C139F3" w:rsidRPr="00C441BF" w:rsidRDefault="00C139F3" w:rsidP="00C139F3">
            <w:pPr>
              <w:rPr>
                <w:sz w:val="28"/>
                <w:szCs w:val="28"/>
              </w:rPr>
            </w:pPr>
            <w:r w:rsidRPr="00C441BF"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068A8CFA" wp14:editId="0C4F04CD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55880</wp:posOffset>
                  </wp:positionV>
                  <wp:extent cx="1301750" cy="388620"/>
                  <wp:effectExtent l="0" t="0" r="0" b="0"/>
                  <wp:wrapNone/>
                  <wp:docPr id="3" name="Obraz 3" descr="E: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1BF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E77E5DE" wp14:editId="68BA54BB">
                  <wp:simplePos x="0" y="0"/>
                  <wp:positionH relativeFrom="column">
                    <wp:posOffset>4179570</wp:posOffset>
                  </wp:positionH>
                  <wp:positionV relativeFrom="paragraph">
                    <wp:posOffset>25400</wp:posOffset>
                  </wp:positionV>
                  <wp:extent cx="1355725" cy="422910"/>
                  <wp:effectExtent l="0" t="0" r="0" b="8890"/>
                  <wp:wrapNone/>
                  <wp:docPr id="4" name="Obraz 4" descr="E:\logo_DFL_c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logo_DFL_c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39F3" w:rsidRPr="00C441BF" w:rsidTr="00473F39">
        <w:trPr>
          <w:trHeight w:val="1000"/>
        </w:trPr>
        <w:tc>
          <w:tcPr>
            <w:tcW w:w="9078" w:type="dxa"/>
            <w:gridSpan w:val="3"/>
            <w:tcBorders>
              <w:left w:val="single" w:sz="4" w:space="0" w:color="590025"/>
              <w:right w:val="single" w:sz="4" w:space="0" w:color="590025"/>
            </w:tcBorders>
            <w:shd w:val="clear" w:color="auto" w:fill="6D0A31"/>
            <w:vAlign w:val="center"/>
          </w:tcPr>
          <w:p w:rsidR="00C139F3" w:rsidRPr="00C441BF" w:rsidRDefault="00C139F3" w:rsidP="00C139F3">
            <w:pPr>
              <w:rPr>
                <w:sz w:val="18"/>
                <w:szCs w:val="28"/>
              </w:rPr>
            </w:pPr>
          </w:p>
          <w:p w:rsidR="000266B0" w:rsidRPr="00C441BF" w:rsidRDefault="000266B0" w:rsidP="000266B0">
            <w:pPr>
              <w:rPr>
                <w:bCs/>
                <w:sz w:val="40"/>
                <w:szCs w:val="28"/>
              </w:rPr>
            </w:pPr>
            <w:r w:rsidRPr="00C441BF">
              <w:rPr>
                <w:bCs/>
                <w:sz w:val="40"/>
                <w:szCs w:val="28"/>
              </w:rPr>
              <w:t>Sposób postępowania zarządu i pracowników firmy medycznej w przypadku kontaktu z organami ścigania wraz z uwzględnieniem projektu ustawy o jawności życia publicznego</w:t>
            </w:r>
          </w:p>
          <w:p w:rsidR="00C139F3" w:rsidRPr="00C441BF" w:rsidRDefault="00C139F3" w:rsidP="00C139F3">
            <w:pPr>
              <w:rPr>
                <w:sz w:val="16"/>
                <w:szCs w:val="28"/>
              </w:rPr>
            </w:pPr>
          </w:p>
        </w:tc>
      </w:tr>
      <w:tr w:rsidR="00C139F3" w:rsidRPr="00C441BF" w:rsidTr="00473F39">
        <w:trPr>
          <w:trHeight w:val="650"/>
        </w:trPr>
        <w:tc>
          <w:tcPr>
            <w:tcW w:w="5372" w:type="dxa"/>
            <w:vMerge w:val="restart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139F3" w:rsidRPr="00C441BF" w:rsidRDefault="00C139F3" w:rsidP="00C139F3">
            <w:pPr>
              <w:jc w:val="center"/>
            </w:pPr>
            <w:r w:rsidRPr="00C441BF">
              <w:rPr>
                <w:sz w:val="24"/>
              </w:rPr>
              <w:t xml:space="preserve">SZKOLENIE </w:t>
            </w:r>
            <w:r w:rsidR="00317E8E" w:rsidRPr="00C441BF">
              <w:rPr>
                <w:sz w:val="24"/>
              </w:rPr>
              <w:t>W RAMACH AKADEMII PRAWNEJ IZBY POLMED</w:t>
            </w:r>
            <w:r w:rsidRPr="00C441BF">
              <w:rPr>
                <w:sz w:val="24"/>
              </w:rPr>
              <w:t xml:space="preserve"> I DFL LEGAL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139F3" w:rsidRPr="00C441BF" w:rsidRDefault="00C139F3" w:rsidP="00C139F3">
            <w:pPr>
              <w:jc w:val="right"/>
              <w:rPr>
                <w:i/>
                <w:sz w:val="20"/>
              </w:rPr>
            </w:pPr>
            <w:r w:rsidRPr="00C441BF">
              <w:rPr>
                <w:i/>
                <w:sz w:val="20"/>
              </w:rPr>
              <w:t>Data:</w:t>
            </w:r>
          </w:p>
        </w:tc>
        <w:tc>
          <w:tcPr>
            <w:tcW w:w="2657" w:type="dxa"/>
            <w:tcBorders>
              <w:left w:val="nil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C139F3" w:rsidRPr="00C441BF" w:rsidRDefault="00FA6BB2" w:rsidP="00243BBB">
            <w:pPr>
              <w:rPr>
                <w:b/>
                <w:sz w:val="20"/>
              </w:rPr>
            </w:pPr>
            <w:r w:rsidRPr="00C441BF">
              <w:rPr>
                <w:b/>
                <w:sz w:val="20"/>
              </w:rPr>
              <w:t>23</w:t>
            </w:r>
            <w:r w:rsidR="00C139F3" w:rsidRPr="00C441BF">
              <w:rPr>
                <w:b/>
                <w:sz w:val="20"/>
              </w:rPr>
              <w:t xml:space="preserve"> </w:t>
            </w:r>
            <w:r w:rsidR="00243BBB" w:rsidRPr="00C441BF">
              <w:rPr>
                <w:b/>
                <w:sz w:val="20"/>
              </w:rPr>
              <w:t>listopada</w:t>
            </w:r>
            <w:r w:rsidR="00C139F3" w:rsidRPr="00C441BF">
              <w:rPr>
                <w:b/>
                <w:sz w:val="20"/>
              </w:rPr>
              <w:t xml:space="preserve"> 2017 r.,</w:t>
            </w:r>
            <w:r w:rsidR="00C139F3" w:rsidRPr="00C441BF">
              <w:rPr>
                <w:sz w:val="20"/>
              </w:rPr>
              <w:t xml:space="preserve"> </w:t>
            </w:r>
            <w:r w:rsidR="00C139F3" w:rsidRPr="00C441BF">
              <w:rPr>
                <w:sz w:val="20"/>
              </w:rPr>
              <w:br/>
            </w:r>
            <w:r w:rsidR="0017328D" w:rsidRPr="00C441BF">
              <w:rPr>
                <w:sz w:val="20"/>
              </w:rPr>
              <w:t>w godz. 10:00-16:00</w:t>
            </w:r>
            <w:r w:rsidR="00C139F3" w:rsidRPr="00C441BF">
              <w:rPr>
                <w:sz w:val="20"/>
              </w:rPr>
              <w:t>.</w:t>
            </w:r>
          </w:p>
        </w:tc>
      </w:tr>
      <w:tr w:rsidR="00C139F3" w:rsidRPr="00C441BF" w:rsidTr="00473F39">
        <w:trPr>
          <w:trHeight w:val="532"/>
        </w:trPr>
        <w:tc>
          <w:tcPr>
            <w:tcW w:w="5372" w:type="dxa"/>
            <w:vMerge/>
            <w:tcBorders>
              <w:left w:val="single" w:sz="4" w:space="0" w:color="D9D9D9" w:themeColor="background1" w:themeShade="D9"/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C139F3" w:rsidRPr="00C441BF" w:rsidRDefault="00C139F3" w:rsidP="00C139F3">
            <w:pPr>
              <w:rPr>
                <w:b/>
              </w:rPr>
            </w:pPr>
          </w:p>
        </w:tc>
        <w:tc>
          <w:tcPr>
            <w:tcW w:w="1049" w:type="dxa"/>
            <w:tcBorders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:rsidR="00C139F3" w:rsidRPr="00C441BF" w:rsidRDefault="00C139F3" w:rsidP="00C139F3">
            <w:pPr>
              <w:jc w:val="right"/>
              <w:rPr>
                <w:i/>
                <w:sz w:val="20"/>
              </w:rPr>
            </w:pPr>
            <w:r w:rsidRPr="00C441BF">
              <w:rPr>
                <w:i/>
                <w:sz w:val="20"/>
              </w:rPr>
              <w:t>Miejsce:</w:t>
            </w:r>
          </w:p>
        </w:tc>
        <w:tc>
          <w:tcPr>
            <w:tcW w:w="2657" w:type="dxa"/>
            <w:tcBorders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C139F3" w:rsidRPr="00C441BF" w:rsidRDefault="0017328D" w:rsidP="00C139F3">
            <w:pPr>
              <w:rPr>
                <w:sz w:val="20"/>
              </w:rPr>
            </w:pPr>
            <w:r w:rsidRPr="00C441BF">
              <w:rPr>
                <w:sz w:val="20"/>
              </w:rPr>
              <w:t>Instytut Biocybernetyki i Inżynierii Biomedycznej PAN, ul. Ks. Trojdena 4, Warszawa</w:t>
            </w:r>
          </w:p>
        </w:tc>
      </w:tr>
    </w:tbl>
    <w:p w:rsidR="00C139F3" w:rsidRDefault="00C139F3" w:rsidP="00C139F3">
      <w:pPr>
        <w:jc w:val="both"/>
        <w:rPr>
          <w:rFonts w:ascii="Lato Light" w:hAnsi="Lato Light"/>
          <w:sz w:val="18"/>
        </w:rPr>
      </w:pPr>
    </w:p>
    <w:p w:rsidR="00C139F3" w:rsidRPr="00C441BF" w:rsidRDefault="00C139F3" w:rsidP="00C139F3">
      <w:pPr>
        <w:jc w:val="both"/>
        <w:rPr>
          <w:rFonts w:ascii="Calibri" w:hAnsi="Calibri"/>
          <w:b/>
          <w:sz w:val="20"/>
        </w:rPr>
      </w:pPr>
      <w:r w:rsidRPr="00C441BF">
        <w:rPr>
          <w:rFonts w:ascii="Calibri" w:hAnsi="Calibri"/>
          <w:sz w:val="20"/>
        </w:rPr>
        <w:t xml:space="preserve">Ogólnopolska Izba Gospodarcza Wyrobów Medycznych oraz Kancelaria DFL Legal mają ogromną przyjemność zaprosić Państwa na szkolenie </w:t>
      </w:r>
      <w:r w:rsidR="00FA6BB2" w:rsidRPr="00C441BF">
        <w:rPr>
          <w:rFonts w:ascii="Calibri" w:hAnsi="Calibri"/>
          <w:b/>
          <w:sz w:val="20"/>
        </w:rPr>
        <w:t>mające na celu zwiększenie bezpieczeństwa prawnego dla menedżerów firm farmaceutycznych w toku kontaktów z organami ścigania</w:t>
      </w:r>
      <w:r w:rsidR="00243BBB" w:rsidRPr="00C441BF">
        <w:rPr>
          <w:rFonts w:ascii="Calibri" w:hAnsi="Calibri"/>
          <w:b/>
          <w:sz w:val="20"/>
        </w:rPr>
        <w:t>.</w:t>
      </w:r>
    </w:p>
    <w:tbl>
      <w:tblPr>
        <w:tblStyle w:val="Tabela-Siatka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707"/>
      </w:tblGrid>
      <w:tr w:rsidR="00FA6BB2" w:rsidRPr="00C441BF" w:rsidTr="004D6D11">
        <w:trPr>
          <w:trHeight w:val="627"/>
        </w:trPr>
        <w:tc>
          <w:tcPr>
            <w:tcW w:w="9102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FA6BB2" w:rsidRPr="00C441BF" w:rsidRDefault="00FA6BB2" w:rsidP="004D6D11">
            <w:pPr>
              <w:jc w:val="center"/>
              <w:rPr>
                <w:rFonts w:ascii="Calibri" w:hAnsi="Calibri"/>
                <w:sz w:val="24"/>
              </w:rPr>
            </w:pPr>
            <w:r w:rsidRPr="00C441BF">
              <w:rPr>
                <w:rFonts w:ascii="Calibri" w:hAnsi="Calibri"/>
                <w:sz w:val="24"/>
              </w:rPr>
              <w:t>SZKOLENIE POPROWADZĄ:</w:t>
            </w:r>
          </w:p>
        </w:tc>
      </w:tr>
      <w:tr w:rsidR="00FA6BB2" w:rsidRPr="005C510B" w:rsidTr="004D6D11">
        <w:tc>
          <w:tcPr>
            <w:tcW w:w="439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FA6BB2" w:rsidRPr="00C441BF" w:rsidRDefault="00FA6BB2" w:rsidP="004D6D11">
            <w:pPr>
              <w:rPr>
                <w:rFonts w:ascii="Calibri" w:hAnsi="Calibri"/>
                <w:bCs/>
                <w:sz w:val="18"/>
              </w:rPr>
            </w:pPr>
          </w:p>
          <w:p w:rsidR="00FA6BB2" w:rsidRPr="00C441BF" w:rsidRDefault="00FA6BB2" w:rsidP="004D6D11">
            <w:pPr>
              <w:numPr>
                <w:ilvl w:val="0"/>
                <w:numId w:val="1"/>
              </w:numPr>
              <w:rPr>
                <w:rFonts w:ascii="Calibri" w:hAnsi="Calibri"/>
                <w:bCs/>
                <w:sz w:val="18"/>
              </w:rPr>
            </w:pPr>
            <w:r w:rsidRPr="00C441BF">
              <w:rPr>
                <w:rFonts w:ascii="Calibri" w:hAnsi="Calibri"/>
                <w:b/>
                <w:bCs/>
                <w:sz w:val="18"/>
              </w:rPr>
              <w:t>adw. Oskar Luty,</w:t>
            </w:r>
            <w:r w:rsidRPr="00C441BF">
              <w:rPr>
                <w:rFonts w:ascii="Calibri" w:hAnsi="Calibri"/>
                <w:bCs/>
                <w:sz w:val="18"/>
              </w:rPr>
              <w:t xml:space="preserve"> </w:t>
            </w:r>
          </w:p>
          <w:p w:rsidR="008B3EE3" w:rsidRPr="00C441BF" w:rsidRDefault="002774DB" w:rsidP="008B3EE3">
            <w:pPr>
              <w:rPr>
                <w:rFonts w:ascii="Calibri" w:hAnsi="Calibri"/>
                <w:bCs/>
                <w:sz w:val="18"/>
              </w:rPr>
            </w:pPr>
            <w:r w:rsidRPr="00C441BF">
              <w:rPr>
                <w:rFonts w:ascii="Calibri" w:hAnsi="Calibri"/>
                <w:bCs/>
                <w:sz w:val="18"/>
              </w:rPr>
              <w:t>partner w</w:t>
            </w:r>
            <w:r w:rsidR="00FA6BB2" w:rsidRPr="00C441BF">
              <w:rPr>
                <w:rFonts w:ascii="Calibri" w:hAnsi="Calibri"/>
                <w:bCs/>
                <w:sz w:val="18"/>
              </w:rPr>
              <w:t xml:space="preserve"> specjalistycznej Kancelarii DFL LEGAL, ekspert prawny OIGWM POLMED</w:t>
            </w:r>
          </w:p>
          <w:p w:rsidR="008B3EE3" w:rsidRPr="00C441BF" w:rsidRDefault="008B3EE3" w:rsidP="008B3EE3">
            <w:pPr>
              <w:pStyle w:val="Akapitzlist"/>
              <w:numPr>
                <w:ilvl w:val="0"/>
                <w:numId w:val="5"/>
              </w:numPr>
              <w:ind w:left="318" w:hanging="318"/>
              <w:rPr>
                <w:rFonts w:ascii="Calibri" w:hAnsi="Calibri"/>
                <w:b/>
                <w:bCs/>
                <w:sz w:val="18"/>
              </w:rPr>
            </w:pPr>
            <w:r w:rsidRPr="00C441BF">
              <w:rPr>
                <w:rFonts w:ascii="Calibri" w:hAnsi="Calibri"/>
                <w:b/>
                <w:bCs/>
                <w:sz w:val="18"/>
              </w:rPr>
              <w:t>r. pr. dor. pod. Katarzyna Maćkowska,</w:t>
            </w:r>
          </w:p>
        </w:tc>
        <w:tc>
          <w:tcPr>
            <w:tcW w:w="470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FA6BB2" w:rsidRPr="00C441BF" w:rsidRDefault="00FA6BB2" w:rsidP="004D6D11">
            <w:pPr>
              <w:rPr>
                <w:rFonts w:ascii="Calibri" w:hAnsi="Calibri"/>
                <w:bCs/>
                <w:sz w:val="18"/>
              </w:rPr>
            </w:pPr>
          </w:p>
          <w:p w:rsidR="00FA6BB2" w:rsidRPr="00C441BF" w:rsidRDefault="00FA6BB2" w:rsidP="004D6D11">
            <w:pPr>
              <w:numPr>
                <w:ilvl w:val="0"/>
                <w:numId w:val="1"/>
              </w:numPr>
              <w:rPr>
                <w:rFonts w:ascii="Calibri" w:hAnsi="Calibri"/>
                <w:bCs/>
                <w:sz w:val="18"/>
              </w:rPr>
            </w:pPr>
            <w:r w:rsidRPr="00C441BF">
              <w:rPr>
                <w:rFonts w:ascii="Calibri" w:hAnsi="Calibri"/>
                <w:b/>
                <w:bCs/>
                <w:sz w:val="18"/>
              </w:rPr>
              <w:t xml:space="preserve">adw. Bartosz Świdrak, </w:t>
            </w:r>
          </w:p>
          <w:p w:rsidR="00FA6BB2" w:rsidRPr="00C441BF" w:rsidRDefault="00FA6BB2" w:rsidP="004D6D11">
            <w:pPr>
              <w:rPr>
                <w:rFonts w:ascii="Calibri" w:hAnsi="Calibri"/>
                <w:bCs/>
                <w:sz w:val="18"/>
                <w:lang w:val="en-US"/>
              </w:rPr>
            </w:pPr>
            <w:r w:rsidRPr="00C441BF">
              <w:rPr>
                <w:rFonts w:ascii="Calibri" w:hAnsi="Calibri"/>
                <w:bCs/>
                <w:sz w:val="18"/>
                <w:lang w:val="en-US"/>
              </w:rPr>
              <w:t xml:space="preserve">adwokat, </w:t>
            </w:r>
            <w:r w:rsidR="002774DB" w:rsidRPr="00C441BF">
              <w:rPr>
                <w:rFonts w:ascii="Calibri" w:hAnsi="Calibri"/>
                <w:bCs/>
                <w:sz w:val="18"/>
                <w:lang w:val="en-US"/>
              </w:rPr>
              <w:t>senior associate</w:t>
            </w:r>
            <w:r w:rsidRPr="00C441BF">
              <w:rPr>
                <w:rFonts w:ascii="Calibri" w:hAnsi="Calibri"/>
                <w:bCs/>
                <w:sz w:val="18"/>
                <w:lang w:val="en-US"/>
              </w:rPr>
              <w:t xml:space="preserve"> w Kancelarii DFL LEGAL, ekspert prawny OIGWM POLMED</w:t>
            </w:r>
          </w:p>
          <w:p w:rsidR="008B3EE3" w:rsidRPr="00C441BF" w:rsidRDefault="008B3EE3" w:rsidP="004D6D11">
            <w:pPr>
              <w:rPr>
                <w:rFonts w:ascii="Calibri" w:hAnsi="Calibri"/>
                <w:bCs/>
                <w:sz w:val="18"/>
                <w:lang w:val="en-US"/>
              </w:rPr>
            </w:pPr>
          </w:p>
          <w:p w:rsidR="008B3EE3" w:rsidRPr="00C441BF" w:rsidRDefault="008B3EE3" w:rsidP="004D6D11">
            <w:pPr>
              <w:rPr>
                <w:rFonts w:ascii="Calibri" w:hAnsi="Calibri"/>
                <w:bCs/>
                <w:sz w:val="18"/>
                <w:lang w:val="en-US"/>
              </w:rPr>
            </w:pPr>
          </w:p>
        </w:tc>
      </w:tr>
    </w:tbl>
    <w:p w:rsidR="00C139F3" w:rsidRPr="00C441BF" w:rsidRDefault="00C139F3" w:rsidP="00C139F3">
      <w:pPr>
        <w:jc w:val="both"/>
        <w:rPr>
          <w:rFonts w:ascii="Calibri" w:hAnsi="Calibri"/>
          <w:sz w:val="18"/>
          <w:lang w:val="en-US"/>
        </w:rPr>
      </w:pPr>
    </w:p>
    <w:p w:rsidR="00326BAB" w:rsidRPr="00C441BF" w:rsidRDefault="00FA6BB2" w:rsidP="00C139F3">
      <w:pPr>
        <w:jc w:val="both"/>
        <w:rPr>
          <w:rFonts w:ascii="Calibri" w:hAnsi="Calibri"/>
          <w:sz w:val="20"/>
        </w:rPr>
      </w:pPr>
      <w:r w:rsidRPr="00C441BF">
        <w:rPr>
          <w:rFonts w:ascii="Calibri" w:hAnsi="Calibri"/>
          <w:sz w:val="20"/>
        </w:rPr>
        <w:t>Nawet w przypadku maksymalnie przejrzystego działania i wdrożenia szerokich działań mających na celu minimalizację ryzyka prawnego, nie da wykluczyć zainteresowania organów ścigania określoną działalnością firmy</w:t>
      </w:r>
      <w:r w:rsidR="00243BBB" w:rsidRPr="00C441BF">
        <w:rPr>
          <w:rFonts w:ascii="Calibri" w:hAnsi="Calibri"/>
          <w:sz w:val="20"/>
        </w:rPr>
        <w:t>.</w:t>
      </w:r>
      <w:r w:rsidR="00326BAB" w:rsidRPr="00C441BF">
        <w:rPr>
          <w:rFonts w:ascii="Calibri" w:hAnsi="Calibri"/>
          <w:sz w:val="20"/>
        </w:rPr>
        <w:t xml:space="preserve"> Szczególny nacisk w ramach szkolenia zostanie położony na </w:t>
      </w:r>
      <w:r w:rsidR="00326BAB" w:rsidRPr="00C441BF">
        <w:rPr>
          <w:rFonts w:ascii="Calibri" w:hAnsi="Calibri"/>
          <w:b/>
          <w:sz w:val="20"/>
        </w:rPr>
        <w:t>identyfikację tych obszarów działalności, które przekładają się bezpośrednio na bezpieczeństwo prawne</w:t>
      </w:r>
      <w:r w:rsidR="00016118" w:rsidRPr="00C441BF">
        <w:rPr>
          <w:rFonts w:ascii="Calibri" w:hAnsi="Calibri"/>
          <w:sz w:val="20"/>
        </w:rPr>
        <w:t>.</w:t>
      </w:r>
      <w:r w:rsidR="00326BAB" w:rsidRPr="00C441BF">
        <w:rPr>
          <w:rFonts w:ascii="Calibri" w:hAnsi="Calibri"/>
          <w:sz w:val="20"/>
        </w:rPr>
        <w:t xml:space="preserve"> </w:t>
      </w:r>
    </w:p>
    <w:p w:rsidR="00C139F3" w:rsidRPr="00C441BF" w:rsidRDefault="00326BAB" w:rsidP="00C139F3">
      <w:pPr>
        <w:jc w:val="both"/>
        <w:rPr>
          <w:rFonts w:ascii="Calibri" w:hAnsi="Calibri"/>
          <w:sz w:val="20"/>
        </w:rPr>
      </w:pPr>
      <w:r w:rsidRPr="00C441BF">
        <w:rPr>
          <w:rFonts w:ascii="Calibri" w:hAnsi="Calibri"/>
          <w:sz w:val="20"/>
        </w:rPr>
        <w:t xml:space="preserve">Szkolenie ma na celu </w:t>
      </w:r>
      <w:r w:rsidRPr="00C441BF">
        <w:rPr>
          <w:rFonts w:ascii="Calibri" w:hAnsi="Calibri"/>
          <w:b/>
          <w:sz w:val="20"/>
        </w:rPr>
        <w:t>optymalne przygotowanie uczestników do ewentualnego kontaktu z organami ścigania</w:t>
      </w:r>
      <w:r w:rsidRPr="00C441BF">
        <w:rPr>
          <w:rFonts w:ascii="Calibri" w:hAnsi="Calibri"/>
          <w:sz w:val="20"/>
        </w:rPr>
        <w:t>. Nabędą oni praktyczne kompetencje w zakresie prawidłowego postępowania podczas takich czynności jak przesłuchanie, żądanie dostarczenia dokumentów, czy zatrzymanie.</w:t>
      </w:r>
    </w:p>
    <w:p w:rsidR="003607A6" w:rsidRPr="00C441BF" w:rsidRDefault="00884641" w:rsidP="00C139F3">
      <w:pPr>
        <w:jc w:val="both"/>
        <w:rPr>
          <w:rFonts w:ascii="Calibri" w:hAnsi="Calibri"/>
          <w:sz w:val="20"/>
        </w:rPr>
      </w:pPr>
      <w:r w:rsidRPr="00C441BF">
        <w:rPr>
          <w:rFonts w:ascii="Calibri" w:hAnsi="Calibri"/>
          <w:sz w:val="20"/>
        </w:rPr>
        <w:t xml:space="preserve">Proponujemy szkolenie </w:t>
      </w:r>
      <w:r w:rsidRPr="00C441BF">
        <w:rPr>
          <w:rFonts w:ascii="Calibri" w:hAnsi="Calibri"/>
          <w:b/>
          <w:sz w:val="20"/>
        </w:rPr>
        <w:t>w</w:t>
      </w:r>
      <w:r w:rsidRPr="00C441BF">
        <w:rPr>
          <w:rFonts w:ascii="Calibri" w:hAnsi="Calibri"/>
          <w:sz w:val="20"/>
        </w:rPr>
        <w:t xml:space="preserve"> </w:t>
      </w:r>
      <w:r w:rsidRPr="00C441BF">
        <w:rPr>
          <w:rFonts w:ascii="Calibri" w:hAnsi="Calibri"/>
          <w:b/>
          <w:sz w:val="20"/>
        </w:rPr>
        <w:t>formule warsztatowej</w:t>
      </w:r>
      <w:r w:rsidR="00DE3917" w:rsidRPr="00C441BF">
        <w:rPr>
          <w:rFonts w:ascii="Calibri" w:hAnsi="Calibri"/>
          <w:sz w:val="20"/>
        </w:rPr>
        <w:t>.</w:t>
      </w:r>
      <w:r w:rsidRPr="00C441BF">
        <w:rPr>
          <w:rFonts w:ascii="Calibri" w:hAnsi="Calibri"/>
          <w:sz w:val="20"/>
        </w:rPr>
        <w:t xml:space="preserve"> </w:t>
      </w:r>
      <w:r w:rsidR="00326BAB" w:rsidRPr="00C441BF">
        <w:rPr>
          <w:rFonts w:ascii="Calibri" w:hAnsi="Calibri"/>
          <w:sz w:val="20"/>
        </w:rPr>
        <w:t xml:space="preserve">Nasze doświadczenie pokazuje, że dla osiągnięcia celu szkolenia najlepszym mechanizmem jest omawiane wspólnie z uczestnikami </w:t>
      </w:r>
      <w:r w:rsidR="00326BAB" w:rsidRPr="00C441BF">
        <w:rPr>
          <w:rFonts w:ascii="Calibri" w:hAnsi="Calibri"/>
          <w:b/>
          <w:sz w:val="20"/>
        </w:rPr>
        <w:t>scenek inspirowanych realnymi przykładami sytuacji</w:t>
      </w:r>
      <w:r w:rsidR="00326BAB" w:rsidRPr="00C441BF">
        <w:rPr>
          <w:rFonts w:ascii="Calibri" w:hAnsi="Calibri"/>
          <w:sz w:val="20"/>
        </w:rPr>
        <w:t>.</w:t>
      </w:r>
    </w:p>
    <w:tbl>
      <w:tblPr>
        <w:tblStyle w:val="Tabela-Siatka"/>
        <w:tblpPr w:leftFromText="141" w:rightFromText="141" w:vertAnchor="text" w:horzAnchor="margin" w:tblpY="333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402"/>
      </w:tblGrid>
      <w:tr w:rsidR="00DC00DD" w:rsidRPr="00C441BF" w:rsidTr="00DC00DD">
        <w:trPr>
          <w:trHeight w:val="1046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DC00DD" w:rsidRPr="00C441BF" w:rsidRDefault="00DC00DD" w:rsidP="00DC00DD">
            <w:pPr>
              <w:jc w:val="right"/>
              <w:rPr>
                <w:rFonts w:ascii="Calibri" w:hAnsi="Calibri"/>
              </w:rPr>
            </w:pPr>
            <w:r w:rsidRPr="00C441BF">
              <w:rPr>
                <w:rFonts w:ascii="Calibri" w:hAnsi="Calibri"/>
                <w:sz w:val="28"/>
              </w:rPr>
              <w:t>Koszt uczestnictwa w szkoleniu wynosi: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C00DD" w:rsidRPr="00C441BF" w:rsidRDefault="002774DB" w:rsidP="00DC00DD">
            <w:pPr>
              <w:rPr>
                <w:rFonts w:ascii="Calibri" w:hAnsi="Calibri"/>
                <w:sz w:val="18"/>
              </w:rPr>
            </w:pPr>
            <w:r w:rsidRPr="00C441BF">
              <w:rPr>
                <w:rFonts w:ascii="Calibri" w:hAnsi="Calibri"/>
                <w:sz w:val="30"/>
              </w:rPr>
              <w:t>1 500</w:t>
            </w:r>
            <w:r w:rsidR="00DC00DD" w:rsidRPr="00C441BF">
              <w:rPr>
                <w:rFonts w:ascii="Calibri" w:hAnsi="Calibri"/>
                <w:sz w:val="30"/>
              </w:rPr>
              <w:t xml:space="preserve"> zł</w:t>
            </w:r>
          </w:p>
          <w:p w:rsidR="00DC00DD" w:rsidRPr="00C441BF" w:rsidRDefault="00DC00DD" w:rsidP="00DC00DD">
            <w:pPr>
              <w:rPr>
                <w:rFonts w:ascii="Calibri" w:hAnsi="Calibri"/>
                <w:b/>
              </w:rPr>
            </w:pPr>
            <w:r w:rsidRPr="00C441BF">
              <w:rPr>
                <w:rFonts w:ascii="Calibri" w:hAnsi="Calibri"/>
              </w:rPr>
              <w:t xml:space="preserve"> + VAT od osoby.</w:t>
            </w:r>
          </w:p>
        </w:tc>
      </w:tr>
    </w:tbl>
    <w:p w:rsidR="00C139F3" w:rsidRPr="00C441BF" w:rsidRDefault="0017328D" w:rsidP="0017328D">
      <w:pPr>
        <w:rPr>
          <w:rFonts w:ascii="Calibri" w:hAnsi="Calibri"/>
          <w:b/>
          <w:color w:val="FF0000"/>
          <w:sz w:val="26"/>
          <w:szCs w:val="24"/>
        </w:rPr>
      </w:pPr>
      <w:r w:rsidRPr="00C441BF">
        <w:rPr>
          <w:rFonts w:ascii="Calibri" w:hAnsi="Calibri"/>
          <w:b/>
          <w:color w:val="FF0000"/>
          <w:sz w:val="26"/>
          <w:szCs w:val="24"/>
        </w:rPr>
        <w:t>Firmom członkowskim Izby POLMED przysługuje rabat 50% (</w:t>
      </w:r>
      <w:r w:rsidRPr="00C441BF">
        <w:rPr>
          <w:rFonts w:ascii="Calibri" w:hAnsi="Calibri"/>
          <w:b/>
          <w:color w:val="FF0000"/>
          <w:sz w:val="38"/>
          <w:szCs w:val="24"/>
        </w:rPr>
        <w:t xml:space="preserve">750 </w:t>
      </w:r>
      <w:r w:rsidRPr="00C441BF">
        <w:rPr>
          <w:rFonts w:ascii="Calibri" w:hAnsi="Calibri"/>
          <w:b/>
          <w:color w:val="FF0000"/>
          <w:sz w:val="26"/>
          <w:szCs w:val="24"/>
        </w:rPr>
        <w:t>zł + VAT).</w:t>
      </w:r>
    </w:p>
    <w:p w:rsidR="0017328D" w:rsidRPr="00C441BF" w:rsidRDefault="0017328D" w:rsidP="0017328D">
      <w:pPr>
        <w:rPr>
          <w:rFonts w:ascii="Calibri" w:hAnsi="Calibri"/>
          <w:i/>
          <w:sz w:val="20"/>
          <w:szCs w:val="24"/>
        </w:rPr>
      </w:pPr>
      <w:r w:rsidRPr="00C441BF">
        <w:rPr>
          <w:rFonts w:ascii="Calibri" w:hAnsi="Calibri"/>
          <w:i/>
          <w:sz w:val="20"/>
          <w:szCs w:val="24"/>
        </w:rPr>
        <w:t xml:space="preserve">Prosimy o przesyłanie zgłoszeń do dnia 17.11.17 na adres </w:t>
      </w:r>
      <w:hyperlink r:id="rId9" w:history="1">
        <w:r w:rsidRPr="00C441BF">
          <w:rPr>
            <w:rStyle w:val="Hipercze"/>
            <w:rFonts w:ascii="Calibri" w:hAnsi="Calibri"/>
            <w:i/>
            <w:sz w:val="20"/>
            <w:szCs w:val="24"/>
          </w:rPr>
          <w:t>biuro@polmed.org.pl</w:t>
        </w:r>
      </w:hyperlink>
      <w:r w:rsidRPr="00C441BF">
        <w:rPr>
          <w:rFonts w:ascii="Calibri" w:hAnsi="Calibri"/>
          <w:i/>
          <w:sz w:val="20"/>
          <w:szCs w:val="24"/>
        </w:rPr>
        <w:t xml:space="preserve"> .</w:t>
      </w:r>
    </w:p>
    <w:p w:rsidR="0017328D" w:rsidRPr="00C441BF" w:rsidRDefault="0017328D" w:rsidP="0017328D">
      <w:pPr>
        <w:rPr>
          <w:rFonts w:ascii="Calibri" w:hAnsi="Calibri"/>
          <w:i/>
          <w:sz w:val="20"/>
          <w:szCs w:val="24"/>
        </w:rPr>
      </w:pPr>
      <w:r w:rsidRPr="00C441BF">
        <w:rPr>
          <w:rFonts w:ascii="Calibri" w:hAnsi="Calibri"/>
          <w:i/>
          <w:sz w:val="20"/>
          <w:szCs w:val="24"/>
        </w:rPr>
        <w:t xml:space="preserve">*Rezygnacja uczestnika, przyjmowana wyłącznie w formie pisemnej do 17.11.17 nie powoduje żadnych skutków finansowych, rezygnacja po tym terminie lub nieobecność na zajęciach powoduje naliczenie 100% wartości szkolenia. </w:t>
      </w:r>
    </w:p>
    <w:p w:rsidR="0017328D" w:rsidRPr="00C441BF" w:rsidRDefault="0017328D" w:rsidP="0017328D">
      <w:pPr>
        <w:rPr>
          <w:rFonts w:ascii="Calibri" w:hAnsi="Calibri"/>
          <w:i/>
          <w:sz w:val="20"/>
          <w:szCs w:val="24"/>
        </w:rPr>
      </w:pPr>
    </w:p>
    <w:p w:rsidR="0017328D" w:rsidRPr="00C441BF" w:rsidRDefault="0017328D" w:rsidP="0017328D">
      <w:pPr>
        <w:rPr>
          <w:rFonts w:ascii="Calibri" w:hAnsi="Calibri"/>
          <w:i/>
          <w:sz w:val="20"/>
          <w:szCs w:val="24"/>
        </w:rPr>
      </w:pPr>
    </w:p>
    <w:tbl>
      <w:tblPr>
        <w:tblStyle w:val="Tabela-Siatka1"/>
        <w:tblW w:w="9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6483"/>
      </w:tblGrid>
      <w:tr w:rsidR="00317E8E" w:rsidRPr="00C441BF" w:rsidTr="00C441BF">
        <w:trPr>
          <w:trHeight w:val="13499"/>
        </w:trPr>
        <w:tc>
          <w:tcPr>
            <w:tcW w:w="2659" w:type="dxa"/>
            <w:tcBorders>
              <w:right w:val="single" w:sz="12" w:space="0" w:color="6D0A31"/>
            </w:tcBorders>
          </w:tcPr>
          <w:p w:rsidR="00317E8E" w:rsidRPr="00C441BF" w:rsidRDefault="00317E8E" w:rsidP="00473F39">
            <w:pPr>
              <w:rPr>
                <w:rFonts w:ascii="Calibri" w:hAnsi="Calibri"/>
              </w:rPr>
            </w:pPr>
            <w:r w:rsidRPr="00C441BF">
              <w:rPr>
                <w:rFonts w:ascii="Calibri" w:eastAsia="MS Mincho" w:hAnsi="Calibri" w:cs="Arial"/>
                <w:b/>
                <w:color w:val="6D0A31"/>
                <w:sz w:val="40"/>
                <w:lang w:eastAsia="ja-JP"/>
              </w:rPr>
              <w:t>PROGRAM SZKOLENIA</w:t>
            </w:r>
          </w:p>
        </w:tc>
        <w:tc>
          <w:tcPr>
            <w:tcW w:w="6483" w:type="dxa"/>
            <w:tcBorders>
              <w:left w:val="single" w:sz="12" w:space="0" w:color="6D0A31"/>
            </w:tcBorders>
          </w:tcPr>
          <w:p w:rsidR="00C441BF" w:rsidRPr="00C441BF" w:rsidRDefault="00C441BF" w:rsidP="00C441BF">
            <w:p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>1. Regulacje prawne – obowi</w:t>
            </w:r>
            <w:r w:rsidRPr="00C441BF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pl-PL"/>
              </w:rPr>
              <w:t>ą</w:t>
            </w:r>
            <w:r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>zuj</w:t>
            </w:r>
            <w:r w:rsidRPr="00C441BF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pl-PL"/>
              </w:rPr>
              <w:t>ą</w:t>
            </w:r>
            <w:r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>ce i projektowane</w:t>
            </w:r>
          </w:p>
          <w:p w:rsidR="00C441BF" w:rsidRPr="00C441BF" w:rsidRDefault="00C441BF" w:rsidP="00C441BF">
            <w:pPr>
              <w:numPr>
                <w:ilvl w:val="0"/>
                <w:numId w:val="7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>Projekt ustawy o jawno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ś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 xml:space="preserve">ci 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ż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>ycia publicznego a nowe wymagania prawne dla firm medycznych</w:t>
            </w:r>
          </w:p>
          <w:p w:rsidR="00C441BF" w:rsidRPr="00C441BF" w:rsidRDefault="00C441BF" w:rsidP="00C441BF">
            <w:pPr>
              <w:numPr>
                <w:ilvl w:val="0"/>
                <w:numId w:val="7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>Projekt ustawy o jawno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ś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 xml:space="preserve">ci 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ż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>ycia publicznego a współpraca z lekarzami i innymi pracownikami ochrony zdrowia</w:t>
            </w:r>
          </w:p>
          <w:p w:rsidR="00C441BF" w:rsidRPr="00C441BF" w:rsidRDefault="00C441BF" w:rsidP="00C441BF">
            <w:pPr>
              <w:numPr>
                <w:ilvl w:val="0"/>
                <w:numId w:val="7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Sankcje za nieprzestrzeganie nowych wymaga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ń</w:t>
            </w:r>
          </w:p>
          <w:p w:rsidR="00C441BF" w:rsidRPr="00C441BF" w:rsidRDefault="00C441BF" w:rsidP="00C441BF">
            <w:pPr>
              <w:numPr>
                <w:ilvl w:val="0"/>
                <w:numId w:val="7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Sposób dostosowania działalno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ś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ci firmy do nowych wymaga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ń</w:t>
            </w:r>
          </w:p>
          <w:p w:rsidR="00C441BF" w:rsidRPr="00C441BF" w:rsidRDefault="00C441BF" w:rsidP="00C441BF">
            <w:pPr>
              <w:numPr>
                <w:ilvl w:val="0"/>
                <w:numId w:val="7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Obowi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ą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zuj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ą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ce przepisy prawne w zakresie przeciwdziałania korupcji oraz inne wa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ż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ne dla bran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ż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 xml:space="preserve">y przepisy </w:t>
            </w:r>
          </w:p>
          <w:p w:rsidR="00C441BF" w:rsidRPr="00C441BF" w:rsidRDefault="00C441BF" w:rsidP="00C441BF">
            <w:pPr>
              <w:numPr>
                <w:ilvl w:val="0"/>
                <w:numId w:val="7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>Uregulowania dotycz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ą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>ce przest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ę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>pczo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ś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>ci podatkowej – sankcje za oszustwa podatkowe, wyłudzenia podatkowe i nierzetelne fakturowanie</w:t>
            </w:r>
          </w:p>
          <w:p w:rsidR="002A4E81" w:rsidRPr="00C441BF" w:rsidRDefault="00C441BF" w:rsidP="00C441BF">
            <w:p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 xml:space="preserve">2. </w:t>
            </w:r>
            <w:r w:rsidR="00326BAB"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>Podstawowe przyczyny zainteresowania słu</w:t>
            </w:r>
            <w:r w:rsidR="00326BAB" w:rsidRPr="00C441BF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pl-PL"/>
              </w:rPr>
              <w:t>ż</w:t>
            </w:r>
            <w:r w:rsidR="00326BAB"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>b działaniami firmy medycznej:</w:t>
            </w:r>
          </w:p>
          <w:p w:rsidR="00C441BF" w:rsidRPr="00C441BF" w:rsidRDefault="00C441BF" w:rsidP="00C441BF">
            <w:pPr>
              <w:numPr>
                <w:ilvl w:val="0"/>
                <w:numId w:val="8"/>
              </w:numPr>
              <w:rPr>
                <w:rFonts w:ascii="Calibri" w:eastAsia="Times New Roman" w:hAnsi="Calibri" w:cs="Lao UI"/>
                <w:sz w:val="18"/>
                <w:szCs w:val="18"/>
              </w:rPr>
            </w:pPr>
            <w:r w:rsidRPr="00C441BF">
              <w:rPr>
                <w:rFonts w:ascii="Calibri" w:eastAsia="Times New Roman" w:hAnsi="Calibri" w:cs="Lao UI"/>
                <w:sz w:val="18"/>
                <w:szCs w:val="18"/>
              </w:rPr>
              <w:t>Przetargi</w:t>
            </w:r>
          </w:p>
          <w:p w:rsidR="00C441BF" w:rsidRPr="00C441BF" w:rsidRDefault="00C441BF" w:rsidP="00C441BF">
            <w:pPr>
              <w:numPr>
                <w:ilvl w:val="0"/>
                <w:numId w:val="8"/>
              </w:numPr>
              <w:rPr>
                <w:rFonts w:ascii="Calibri" w:eastAsia="Times New Roman" w:hAnsi="Calibri" w:cs="Lao UI"/>
                <w:sz w:val="18"/>
                <w:szCs w:val="18"/>
              </w:rPr>
            </w:pPr>
            <w:r w:rsidRPr="00C441BF">
              <w:rPr>
                <w:rFonts w:ascii="Calibri" w:eastAsia="Times New Roman" w:hAnsi="Calibri" w:cs="Lao UI"/>
                <w:sz w:val="18"/>
                <w:szCs w:val="18"/>
              </w:rPr>
              <w:t>Relacje finansowe z lekarzami</w:t>
            </w:r>
          </w:p>
          <w:p w:rsidR="00C441BF" w:rsidRPr="00C441BF" w:rsidRDefault="00C441BF" w:rsidP="00C441BF">
            <w:pPr>
              <w:numPr>
                <w:ilvl w:val="0"/>
                <w:numId w:val="8"/>
              </w:numPr>
              <w:rPr>
                <w:rFonts w:ascii="Calibri" w:eastAsia="Times New Roman" w:hAnsi="Calibri" w:cs="Lao UI"/>
                <w:sz w:val="18"/>
                <w:szCs w:val="18"/>
              </w:rPr>
            </w:pPr>
            <w:r w:rsidRPr="00C441BF">
              <w:rPr>
                <w:rFonts w:ascii="Calibri" w:eastAsia="Times New Roman" w:hAnsi="Calibri" w:cs="Lao UI"/>
                <w:sz w:val="18"/>
                <w:szCs w:val="18"/>
              </w:rPr>
              <w:t>Nieprawidłowo</w:t>
            </w:r>
            <w:r w:rsidRPr="00C441BF">
              <w:rPr>
                <w:rFonts w:ascii="Calibri" w:eastAsia="Times New Roman" w:hAnsi="Calibri" w:cs="Calibri"/>
                <w:sz w:val="18"/>
                <w:szCs w:val="18"/>
              </w:rPr>
              <w:t>ś</w:t>
            </w:r>
            <w:r w:rsidRPr="00C441BF">
              <w:rPr>
                <w:rFonts w:ascii="Calibri" w:eastAsia="Times New Roman" w:hAnsi="Calibri" w:cs="Lao UI"/>
                <w:sz w:val="18"/>
                <w:szCs w:val="18"/>
              </w:rPr>
              <w:t>ci reklamowo-ofertowe</w:t>
            </w:r>
          </w:p>
          <w:p w:rsidR="00C441BF" w:rsidRPr="00C441BF" w:rsidRDefault="00C441BF" w:rsidP="00C441BF">
            <w:pPr>
              <w:numPr>
                <w:ilvl w:val="0"/>
                <w:numId w:val="8"/>
              </w:numPr>
              <w:rPr>
                <w:rFonts w:ascii="Calibri" w:eastAsia="Times New Roman" w:hAnsi="Calibri" w:cs="Lao UI"/>
                <w:sz w:val="18"/>
                <w:szCs w:val="18"/>
              </w:rPr>
            </w:pPr>
            <w:r w:rsidRPr="00C441BF">
              <w:rPr>
                <w:rFonts w:ascii="Calibri" w:eastAsia="Times New Roman" w:hAnsi="Calibri" w:cs="Lao UI"/>
                <w:sz w:val="18"/>
                <w:szCs w:val="18"/>
              </w:rPr>
              <w:t>Refundacja</w:t>
            </w:r>
          </w:p>
          <w:p w:rsidR="00C441BF" w:rsidRPr="00C441BF" w:rsidRDefault="00C441BF" w:rsidP="00C441BF">
            <w:pPr>
              <w:numPr>
                <w:ilvl w:val="0"/>
                <w:numId w:val="8"/>
              </w:numPr>
              <w:rPr>
                <w:rFonts w:ascii="Calibri" w:eastAsia="Times New Roman" w:hAnsi="Calibri" w:cs="Lao UI"/>
                <w:sz w:val="18"/>
                <w:szCs w:val="18"/>
                <w:highlight w:val="yellow"/>
              </w:rPr>
            </w:pPr>
            <w:r w:rsidRPr="00C441BF">
              <w:rPr>
                <w:rFonts w:ascii="Calibri" w:eastAsia="Times New Roman" w:hAnsi="Calibri" w:cs="Lao UI"/>
                <w:sz w:val="18"/>
                <w:szCs w:val="18"/>
                <w:highlight w:val="yellow"/>
              </w:rPr>
              <w:t xml:space="preserve">„Puste” faktury i karuzele podatkowe </w:t>
            </w:r>
          </w:p>
          <w:p w:rsidR="00016118" w:rsidRPr="00C441BF" w:rsidRDefault="00C441BF" w:rsidP="00C441BF">
            <w:p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 xml:space="preserve">3. </w:t>
            </w:r>
            <w:r w:rsidR="00326BAB"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>Podstawowe tło prawne – przepisy karne</w:t>
            </w:r>
          </w:p>
          <w:p w:rsidR="00326BAB" w:rsidRPr="00C441BF" w:rsidRDefault="00C441BF" w:rsidP="00C441BF">
            <w:p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 xml:space="preserve">4. </w:t>
            </w:r>
            <w:r w:rsidR="00326BAB"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>Interakcja z przedstawicielami organów pa</w:t>
            </w:r>
            <w:r w:rsidR="00326BAB" w:rsidRPr="00C441BF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pl-PL"/>
              </w:rPr>
              <w:t>ń</w:t>
            </w:r>
            <w:r w:rsidR="00326BAB"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>stwa – jak nale</w:t>
            </w:r>
            <w:r w:rsidR="00326BAB" w:rsidRPr="00C441BF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pl-PL"/>
              </w:rPr>
              <w:t>ż</w:t>
            </w:r>
            <w:r w:rsidR="00326BAB"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>y si</w:t>
            </w:r>
            <w:r w:rsidR="00326BAB" w:rsidRPr="00C441BF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pl-PL"/>
              </w:rPr>
              <w:t>ę</w:t>
            </w:r>
            <w:r w:rsidR="00326BAB"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 xml:space="preserve"> zachowa</w:t>
            </w:r>
            <w:r w:rsidR="00326BAB" w:rsidRPr="00C441BF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pl-PL"/>
              </w:rPr>
              <w:t>ć</w:t>
            </w:r>
            <w:r w:rsidR="00326BAB"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>?</w:t>
            </w:r>
          </w:p>
          <w:p w:rsidR="00317E8E" w:rsidRPr="00C441BF" w:rsidRDefault="00326BAB" w:rsidP="002A4E81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Schemat relacji – kontakt, korespondencja, scenariusze rozwoju post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ę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powania</w:t>
            </w:r>
          </w:p>
          <w:p w:rsidR="00016118" w:rsidRPr="00C441BF" w:rsidRDefault="00326BAB" w:rsidP="002A4E81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Reguły post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ę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powania – teoria a praktyka</w:t>
            </w:r>
          </w:p>
          <w:p w:rsidR="00884641" w:rsidRPr="00C441BF" w:rsidRDefault="00C441BF" w:rsidP="00C441BF">
            <w:p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 xml:space="preserve">5. </w:t>
            </w:r>
            <w:r w:rsidR="00326BAB"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>Metody przeciwdziałania ryzykom</w:t>
            </w:r>
            <w:r w:rsidR="00317E82"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>:</w:t>
            </w:r>
          </w:p>
          <w:p w:rsidR="00C441BF" w:rsidRPr="00C441BF" w:rsidRDefault="00C441BF" w:rsidP="00C441BF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Organizacja pracy spółki</w:t>
            </w:r>
          </w:p>
          <w:p w:rsidR="00C441BF" w:rsidRPr="00C441BF" w:rsidRDefault="00C441BF" w:rsidP="00C441BF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Zasady post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ę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powania karnego – co mo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ż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e funkcjonariusz</w:t>
            </w:r>
          </w:p>
          <w:p w:rsidR="00C441BF" w:rsidRPr="00C441BF" w:rsidRDefault="00C441BF" w:rsidP="00C441BF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 xml:space="preserve">Praca na materiale procesowym – przykłady z 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ż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 xml:space="preserve">ycia, 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ć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wiczenia</w:t>
            </w:r>
          </w:p>
          <w:p w:rsidR="00C441BF" w:rsidRPr="00C441BF" w:rsidRDefault="00C441BF" w:rsidP="00C441BF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Waga zarz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ą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dzania schematami prawidłowej komunikacji – przykłady</w:t>
            </w:r>
          </w:p>
          <w:p w:rsidR="00C441BF" w:rsidRPr="00C441BF" w:rsidRDefault="00C441BF" w:rsidP="00C441BF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Identyfikacja „punktów krytycznych”</w:t>
            </w:r>
          </w:p>
          <w:p w:rsidR="00C441BF" w:rsidRPr="00C441BF" w:rsidRDefault="00C441BF" w:rsidP="00C441BF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>Reguły firmowego compliance oraz przeciwdziałania korupcji</w:t>
            </w:r>
          </w:p>
          <w:p w:rsidR="00C441BF" w:rsidRPr="00C441BF" w:rsidRDefault="00C441BF" w:rsidP="00C441BF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Kluczowe materiały i dokumenty firmowe</w:t>
            </w:r>
          </w:p>
          <w:p w:rsidR="00C441BF" w:rsidRPr="00C441BF" w:rsidRDefault="00C441BF" w:rsidP="00C441BF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>Nale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ż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>yta staranno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ść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 xml:space="preserve"> jako forma ochrony przed wpl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ą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>taniem w karuzel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ę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 xml:space="preserve"> podatkow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ą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 xml:space="preserve"> – jak udowodni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ć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 xml:space="preserve"> nale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ż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>yt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ą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highlight w:val="yellow"/>
                <w:lang w:eastAsia="pl-PL"/>
              </w:rPr>
              <w:t xml:space="preserve"> stranno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highlight w:val="yellow"/>
                <w:lang w:eastAsia="pl-PL"/>
              </w:rPr>
              <w:t>ść</w:t>
            </w:r>
          </w:p>
          <w:p w:rsidR="00C441BF" w:rsidRPr="00C441BF" w:rsidRDefault="00C441BF" w:rsidP="00C441BF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Metody zarz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ą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dzania bezpiecze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ń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stwem prawnym – procedury, audyt itp.</w:t>
            </w:r>
          </w:p>
          <w:p w:rsidR="00C441BF" w:rsidRPr="00C441BF" w:rsidRDefault="00C441BF" w:rsidP="00C441BF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Ocena skuteczno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ś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ci poszczególnych rozwi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ą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za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ń</w:t>
            </w:r>
          </w:p>
          <w:p w:rsidR="00C441BF" w:rsidRPr="00C441BF" w:rsidRDefault="00C441BF" w:rsidP="00C441BF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Typowe bł</w:t>
            </w:r>
            <w:r w:rsidRPr="00C441BF">
              <w:rPr>
                <w:rFonts w:ascii="Calibri" w:eastAsia="MS Mincho" w:hAnsi="Calibri" w:cs="Calibri"/>
                <w:bCs/>
                <w:sz w:val="18"/>
                <w:szCs w:val="18"/>
                <w:lang w:eastAsia="pl-PL"/>
              </w:rPr>
              <w:t>ę</w:t>
            </w:r>
            <w:r w:rsidRPr="00C441BF"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  <w:t>dy i zaniechania nadzorcze – przykłady</w:t>
            </w:r>
          </w:p>
          <w:p w:rsidR="00A30874" w:rsidRPr="00C441BF" w:rsidRDefault="00C441BF" w:rsidP="00C441BF">
            <w:pPr>
              <w:tabs>
                <w:tab w:val="left" w:pos="347"/>
              </w:tabs>
              <w:spacing w:before="120"/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</w:pPr>
            <w:r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 xml:space="preserve">6. </w:t>
            </w:r>
            <w:r w:rsidR="00A30874" w:rsidRPr="00C441BF">
              <w:rPr>
                <w:rFonts w:ascii="Calibri" w:eastAsia="MS Mincho" w:hAnsi="Calibri" w:cs="Lao UI"/>
                <w:b/>
                <w:bCs/>
                <w:sz w:val="18"/>
                <w:szCs w:val="18"/>
                <w:lang w:eastAsia="pl-PL"/>
              </w:rPr>
              <w:t>Dyskusja i pytania</w:t>
            </w:r>
          </w:p>
        </w:tc>
      </w:tr>
      <w:tr w:rsidR="00A232B4" w:rsidRPr="00C441BF" w:rsidTr="0017328D">
        <w:trPr>
          <w:trHeight w:val="495"/>
        </w:trPr>
        <w:tc>
          <w:tcPr>
            <w:tcW w:w="2659" w:type="dxa"/>
            <w:tcBorders>
              <w:right w:val="single" w:sz="12" w:space="0" w:color="6D0A31"/>
            </w:tcBorders>
          </w:tcPr>
          <w:p w:rsidR="00A232B4" w:rsidRPr="00C441BF" w:rsidRDefault="00A232B4" w:rsidP="00473F39">
            <w:pPr>
              <w:rPr>
                <w:rFonts w:ascii="Calibri" w:eastAsia="MS Mincho" w:hAnsi="Calibri" w:cs="Arial"/>
                <w:b/>
                <w:color w:val="6D0A31"/>
                <w:sz w:val="40"/>
                <w:lang w:eastAsia="ja-JP"/>
              </w:rPr>
            </w:pPr>
          </w:p>
        </w:tc>
        <w:tc>
          <w:tcPr>
            <w:tcW w:w="6483" w:type="dxa"/>
            <w:tcBorders>
              <w:left w:val="single" w:sz="12" w:space="0" w:color="6D0A31"/>
            </w:tcBorders>
          </w:tcPr>
          <w:p w:rsidR="00A232B4" w:rsidRPr="00C441BF" w:rsidRDefault="00A232B4" w:rsidP="00A232B4">
            <w:pPr>
              <w:tabs>
                <w:tab w:val="left" w:pos="284"/>
              </w:tabs>
              <w:spacing w:before="120"/>
              <w:rPr>
                <w:rFonts w:ascii="Calibri" w:eastAsia="MS Mincho" w:hAnsi="Calibri" w:cs="Lao UI"/>
                <w:bCs/>
                <w:sz w:val="18"/>
                <w:szCs w:val="18"/>
                <w:lang w:eastAsia="pl-PL"/>
              </w:rPr>
            </w:pPr>
          </w:p>
        </w:tc>
      </w:tr>
      <w:tr w:rsidR="002774DB" w:rsidRPr="00C441BF" w:rsidTr="0017328D">
        <w:trPr>
          <w:trHeight w:val="7141"/>
        </w:trPr>
        <w:tc>
          <w:tcPr>
            <w:tcW w:w="2659" w:type="dxa"/>
            <w:tcBorders>
              <w:right w:val="single" w:sz="12" w:space="0" w:color="6D0A31"/>
            </w:tcBorders>
          </w:tcPr>
          <w:p w:rsidR="00C441BF" w:rsidRPr="00C441BF" w:rsidRDefault="00C441BF" w:rsidP="00FD2189">
            <w:pPr>
              <w:jc w:val="right"/>
              <w:rPr>
                <w:rFonts w:ascii="Calibri" w:eastAsia="MS Mincho" w:hAnsi="Calibri" w:cs="Arial"/>
                <w:b/>
                <w:color w:val="6D0A31"/>
                <w:sz w:val="38"/>
                <w:lang w:eastAsia="ja-JP"/>
              </w:rPr>
            </w:pPr>
          </w:p>
          <w:p w:rsidR="0017328D" w:rsidRPr="00C441BF" w:rsidRDefault="0017328D" w:rsidP="00FD2189">
            <w:pPr>
              <w:jc w:val="right"/>
              <w:rPr>
                <w:rFonts w:ascii="Calibri" w:eastAsia="MS Mincho" w:hAnsi="Calibri" w:cs="Arial"/>
                <w:b/>
                <w:color w:val="6D0A31"/>
                <w:sz w:val="38"/>
                <w:lang w:eastAsia="ja-JP"/>
              </w:rPr>
            </w:pPr>
            <w:r w:rsidRPr="00C441BF">
              <w:rPr>
                <w:rFonts w:ascii="Calibri" w:eastAsia="MS Mincho" w:hAnsi="Calibri" w:cs="Arial"/>
                <w:b/>
                <w:color w:val="6D0A31"/>
                <w:sz w:val="38"/>
                <w:lang w:eastAsia="ja-JP"/>
              </w:rPr>
              <w:t>WYKŁADOWCY</w:t>
            </w:r>
          </w:p>
          <w:p w:rsidR="002774DB" w:rsidRPr="00C441BF" w:rsidRDefault="002774DB" w:rsidP="00FD2189">
            <w:pPr>
              <w:jc w:val="right"/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  <w:r w:rsidRPr="00C441BF"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  <w:t>adw. Oskar Luty</w:t>
            </w:r>
          </w:p>
          <w:p w:rsidR="002774DB" w:rsidRPr="00C441BF" w:rsidRDefault="002774DB" w:rsidP="00FD2189">
            <w:pPr>
              <w:jc w:val="right"/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2774DB" w:rsidRPr="00C441BF" w:rsidRDefault="002774DB" w:rsidP="00FD2189">
            <w:pPr>
              <w:jc w:val="right"/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2774DB" w:rsidRPr="00C441BF" w:rsidRDefault="002774DB" w:rsidP="00FD2189">
            <w:pPr>
              <w:jc w:val="right"/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2774DB" w:rsidRPr="00C441BF" w:rsidRDefault="002774DB" w:rsidP="00FD2189">
            <w:pPr>
              <w:jc w:val="right"/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2774DB" w:rsidRPr="00C441BF" w:rsidRDefault="002774DB" w:rsidP="00FD2189">
            <w:pPr>
              <w:jc w:val="right"/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2774DB" w:rsidRPr="00C441BF" w:rsidRDefault="002774DB" w:rsidP="00FD2189">
            <w:pPr>
              <w:jc w:val="right"/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2774DB" w:rsidRPr="00C441BF" w:rsidRDefault="002774DB" w:rsidP="00FD2189">
            <w:pPr>
              <w:jc w:val="right"/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2774DB" w:rsidRPr="00C441BF" w:rsidRDefault="002774DB" w:rsidP="00FD2189">
            <w:pPr>
              <w:jc w:val="right"/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2774DB" w:rsidRPr="00C441BF" w:rsidRDefault="002774DB" w:rsidP="00FD2189">
            <w:pPr>
              <w:jc w:val="right"/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2774DB" w:rsidRPr="00C441BF" w:rsidRDefault="002774DB" w:rsidP="00FD2189">
            <w:pPr>
              <w:jc w:val="right"/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2774DB" w:rsidRPr="00C441BF" w:rsidRDefault="002774DB" w:rsidP="00FD2189">
            <w:pPr>
              <w:jc w:val="right"/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5C510B" w:rsidRDefault="005C510B" w:rsidP="0017328D">
            <w:pPr>
              <w:rPr>
                <w:rFonts w:ascii="Calibri" w:eastAsia="MS Mincho" w:hAnsi="Calibri" w:cs="Arial"/>
                <w:b/>
                <w:bCs/>
                <w:color w:val="6D0A31"/>
                <w:sz w:val="26"/>
                <w:lang w:eastAsia="ja-JP"/>
              </w:rPr>
            </w:pPr>
          </w:p>
          <w:p w:rsidR="005C510B" w:rsidRDefault="005C510B" w:rsidP="0017328D">
            <w:pPr>
              <w:rPr>
                <w:rFonts w:ascii="Calibri" w:eastAsia="MS Mincho" w:hAnsi="Calibri" w:cs="Arial"/>
                <w:b/>
                <w:bCs/>
                <w:color w:val="6D0A31"/>
                <w:sz w:val="26"/>
                <w:lang w:eastAsia="ja-JP"/>
              </w:rPr>
            </w:pPr>
          </w:p>
          <w:p w:rsidR="008B3EE3" w:rsidRPr="00C441BF" w:rsidRDefault="008B3EE3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  <w:r w:rsidRPr="00C441BF">
              <w:rPr>
                <w:rFonts w:ascii="Calibri" w:eastAsia="MS Mincho" w:hAnsi="Calibri" w:cs="Arial"/>
                <w:b/>
                <w:bCs/>
                <w:color w:val="6D0A31"/>
                <w:sz w:val="26"/>
                <w:lang w:eastAsia="ja-JP"/>
              </w:rPr>
              <w:t>r. pr. dor. pod. Katarzyna Maćkowska</w:t>
            </w:r>
          </w:p>
          <w:p w:rsidR="008B3EE3" w:rsidRPr="00C441BF" w:rsidRDefault="008B3EE3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8B3EE3" w:rsidRPr="00C441BF" w:rsidRDefault="008B3EE3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8B3EE3" w:rsidRPr="00C441BF" w:rsidRDefault="008B3EE3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C441BF" w:rsidRPr="00C441BF" w:rsidRDefault="00C441BF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C441BF" w:rsidRPr="00C441BF" w:rsidRDefault="00C441BF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5C510B" w:rsidRDefault="005C510B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5C510B" w:rsidRDefault="005C510B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5C510B" w:rsidRDefault="005C510B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5C510B" w:rsidRDefault="005C510B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5C510B" w:rsidRDefault="005C510B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5C510B" w:rsidRDefault="005C510B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5C510B" w:rsidRDefault="005C510B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5C510B" w:rsidRDefault="005C510B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5C510B" w:rsidRDefault="005C510B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5C510B" w:rsidRDefault="005C510B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5C510B" w:rsidRDefault="005C510B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2774DB" w:rsidRPr="00C441BF" w:rsidRDefault="002774DB" w:rsidP="0017328D">
            <w:pPr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  <w:bookmarkStart w:id="0" w:name="_GoBack"/>
            <w:bookmarkEnd w:id="0"/>
            <w:r w:rsidRPr="00C441BF"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  <w:t>adw. Bartosz Świdrak</w:t>
            </w:r>
          </w:p>
          <w:p w:rsidR="002774DB" w:rsidRPr="00C441BF" w:rsidRDefault="002774DB" w:rsidP="00FD2189">
            <w:pPr>
              <w:jc w:val="right"/>
              <w:rPr>
                <w:rFonts w:ascii="Calibri" w:eastAsia="MS Mincho" w:hAnsi="Calibri" w:cs="Arial"/>
                <w:b/>
                <w:color w:val="6D0A31"/>
                <w:sz w:val="26"/>
                <w:lang w:eastAsia="ja-JP"/>
              </w:rPr>
            </w:pPr>
          </w:p>
          <w:p w:rsidR="002774DB" w:rsidRPr="00C441BF" w:rsidRDefault="002774DB" w:rsidP="00FD2189">
            <w:pPr>
              <w:rPr>
                <w:rFonts w:ascii="Calibri" w:eastAsia="MS Mincho" w:hAnsi="Calibri" w:cs="Arial"/>
                <w:b/>
                <w:color w:val="6D0A31"/>
                <w:sz w:val="32"/>
                <w:lang w:eastAsia="ja-JP"/>
              </w:rPr>
            </w:pPr>
          </w:p>
          <w:p w:rsidR="002774DB" w:rsidRPr="00C441BF" w:rsidRDefault="002774DB" w:rsidP="00FD2189">
            <w:pPr>
              <w:rPr>
                <w:rFonts w:ascii="Calibri" w:eastAsia="MS Mincho" w:hAnsi="Calibri" w:cs="Arial"/>
                <w:b/>
                <w:color w:val="6D0A31"/>
                <w:sz w:val="32"/>
                <w:lang w:eastAsia="ja-JP"/>
              </w:rPr>
            </w:pPr>
          </w:p>
          <w:p w:rsidR="002774DB" w:rsidRPr="00C441BF" w:rsidRDefault="002774DB" w:rsidP="00FD2189">
            <w:pPr>
              <w:rPr>
                <w:rFonts w:ascii="Calibri" w:hAnsi="Calibri"/>
              </w:rPr>
            </w:pPr>
          </w:p>
        </w:tc>
        <w:tc>
          <w:tcPr>
            <w:tcW w:w="6483" w:type="dxa"/>
            <w:tcBorders>
              <w:left w:val="single" w:sz="12" w:space="0" w:color="6D0A31"/>
            </w:tcBorders>
          </w:tcPr>
          <w:p w:rsidR="002774DB" w:rsidRPr="00C441BF" w:rsidRDefault="002774DB" w:rsidP="00FD2189">
            <w:pPr>
              <w:tabs>
                <w:tab w:val="left" w:pos="347"/>
              </w:tabs>
              <w:spacing w:before="120"/>
              <w:ind w:right="423"/>
              <w:jc w:val="both"/>
              <w:rPr>
                <w:rFonts w:ascii="Calibri" w:eastAsia="MS Mincho" w:hAnsi="Calibri" w:cs="Times New Roman"/>
                <w:bCs/>
                <w:sz w:val="20"/>
                <w:lang w:eastAsia="ja-JP"/>
              </w:rPr>
            </w:pPr>
          </w:p>
          <w:p w:rsidR="005C510B" w:rsidRDefault="005C510B" w:rsidP="00FD2189">
            <w:pPr>
              <w:tabs>
                <w:tab w:val="left" w:pos="347"/>
              </w:tabs>
              <w:spacing w:before="120"/>
              <w:ind w:left="317" w:right="423"/>
              <w:jc w:val="both"/>
              <w:rPr>
                <w:rFonts w:ascii="Calibri" w:eastAsia="MS Mincho" w:hAnsi="Calibri" w:cs="Times New Roman"/>
                <w:bCs/>
                <w:sz w:val="18"/>
                <w:lang w:eastAsia="ja-JP"/>
              </w:rPr>
            </w:pPr>
          </w:p>
          <w:p w:rsidR="005C510B" w:rsidRDefault="005C510B" w:rsidP="00FD2189">
            <w:pPr>
              <w:tabs>
                <w:tab w:val="left" w:pos="347"/>
              </w:tabs>
              <w:spacing w:before="120"/>
              <w:ind w:left="317" w:right="423"/>
              <w:jc w:val="both"/>
              <w:rPr>
                <w:rFonts w:ascii="Calibri" w:eastAsia="MS Mincho" w:hAnsi="Calibri" w:cs="Times New Roman"/>
                <w:bCs/>
                <w:sz w:val="18"/>
                <w:lang w:eastAsia="ja-JP"/>
              </w:rPr>
            </w:pPr>
          </w:p>
          <w:p w:rsidR="002774DB" w:rsidRPr="00C441BF" w:rsidRDefault="002774DB" w:rsidP="00FD2189">
            <w:pPr>
              <w:tabs>
                <w:tab w:val="left" w:pos="347"/>
              </w:tabs>
              <w:spacing w:before="120"/>
              <w:ind w:left="317" w:right="423"/>
              <w:jc w:val="both"/>
              <w:rPr>
                <w:rFonts w:ascii="Calibri" w:eastAsia="MS Mincho" w:hAnsi="Calibri" w:cs="Times New Roman"/>
                <w:bCs/>
                <w:sz w:val="18"/>
                <w:lang w:eastAsia="ja-JP"/>
              </w:rPr>
            </w:pPr>
            <w:r w:rsidRPr="00C441BF">
              <w:rPr>
                <w:rFonts w:ascii="Calibri" w:eastAsia="MS Mincho" w:hAnsi="Calibri" w:cs="Times New Roman"/>
                <w:bCs/>
                <w:sz w:val="18"/>
                <w:lang w:eastAsia="ja-JP"/>
              </w:rPr>
              <w:t>prawnik, doradca, wykładowca; związany z branżą medyczną i farmaceutyczną od ponad 13 lat. Doświadczony i ceniony dydaktyk oraz szkoleniowiec, w ciągu ostatnich kilku lat przeprowadził ponad 250 szkoleń oraz kursów specjalistycznych dotyczących tematyki branżowej. Współpracownik wielu czołowych uczelni (Akademia Leona Koźmińskiego, Warszawski Uniwersytet Medyczny, Uniwersytet Ekonomiczny w Poznaniu). Od 2010 r. współwłaściciel specjalistycznej kancelarii DFL LEGAL. Jego doświadczenie obejmuje kompleksowe doradztwo dla branży, w tym związane z ochroną danych osobowych, reklamą, dystrybucją, badaniami, zamówieniami publicznymi, odpowiedzialnością produktową, a także wszelkimi sprawami związanymi z działalnością organów ścigania, kontroli i wymiaru sprawiedliwości. Ukończył z wyróżnieniem Wydział Prawa i Administracji UW, a także Centrum Prawa Amerykańskiego, Podyplomowe Studium Prawa Europejskiego oraz kurs stypendialny na Erasmus Universitait Rotterdam. Autor wielu publikacji naukowych i specjalistycznych.</w:t>
            </w:r>
          </w:p>
          <w:p w:rsidR="002774DB" w:rsidRPr="00C441BF" w:rsidRDefault="002774DB" w:rsidP="00FD2189">
            <w:pPr>
              <w:spacing w:before="120"/>
              <w:ind w:left="360" w:right="848"/>
              <w:jc w:val="both"/>
              <w:rPr>
                <w:rFonts w:ascii="Calibri" w:hAnsi="Calibri"/>
                <w:sz w:val="20"/>
              </w:rPr>
            </w:pPr>
          </w:p>
          <w:p w:rsidR="008B3EE3" w:rsidRPr="00C441BF" w:rsidRDefault="008B3EE3" w:rsidP="00FD2189">
            <w:pPr>
              <w:spacing w:before="120"/>
              <w:ind w:left="317" w:right="423"/>
              <w:jc w:val="both"/>
              <w:rPr>
                <w:rFonts w:ascii="Calibri" w:eastAsia="MS Mincho" w:hAnsi="Calibri" w:cs="Times New Roman"/>
                <w:bCs/>
                <w:sz w:val="18"/>
                <w:lang w:eastAsia="ja-JP"/>
              </w:rPr>
            </w:pPr>
          </w:p>
          <w:p w:rsidR="005C510B" w:rsidRPr="005C510B" w:rsidRDefault="005C510B" w:rsidP="005C510B">
            <w:pPr>
              <w:spacing w:before="120"/>
              <w:ind w:left="317" w:right="423"/>
              <w:jc w:val="both"/>
              <w:rPr>
                <w:rFonts w:ascii="Calibri" w:eastAsia="MS Mincho" w:hAnsi="Calibri" w:cs="Times New Roman"/>
                <w:bCs/>
                <w:sz w:val="18"/>
                <w:lang w:eastAsia="ja-JP"/>
              </w:rPr>
            </w:pPr>
            <w:r w:rsidRPr="005C510B">
              <w:rPr>
                <w:rFonts w:ascii="Calibri" w:eastAsia="MS Mincho" w:hAnsi="Calibri" w:cs="Times New Roman"/>
                <w:bCs/>
                <w:sz w:val="18"/>
                <w:lang w:eastAsia="ja-JP"/>
              </w:rPr>
              <w:t>Jest prawnikiem z kilkunastoletnim doświadczeniem zawodowym. Specjalizuje się w prowadzeniu spraw spornych, przede wszystkim w zakresie podatków. Reprezentuje klientów w postępowaniach przed organami administracyjnymi, podatkowymi, celnymi, organami kontroli skarbowej oraz przed sądami. Zajmuję się również bieżącym doradztwem podatkowym, w tym doradztwem w zakresie cen transferowych i wykorzystania ulgi na działalność B&amp;R.</w:t>
            </w:r>
          </w:p>
          <w:p w:rsidR="005C510B" w:rsidRPr="005C510B" w:rsidRDefault="005C510B" w:rsidP="005C510B">
            <w:pPr>
              <w:spacing w:before="120"/>
              <w:ind w:left="317" w:right="423"/>
              <w:jc w:val="both"/>
              <w:rPr>
                <w:rFonts w:ascii="Calibri" w:eastAsia="MS Mincho" w:hAnsi="Calibri" w:cs="Times New Roman"/>
                <w:bCs/>
                <w:sz w:val="18"/>
                <w:lang w:eastAsia="ja-JP"/>
              </w:rPr>
            </w:pPr>
            <w:r w:rsidRPr="005C510B">
              <w:rPr>
                <w:rFonts w:ascii="Calibri" w:eastAsia="MS Mincho" w:hAnsi="Calibri" w:cs="Times New Roman"/>
                <w:b/>
                <w:bCs/>
                <w:sz w:val="18"/>
                <w:lang w:eastAsia="ja-JP"/>
              </w:rPr>
              <w:t>Doświadczenie:</w:t>
            </w:r>
            <w:r w:rsidRPr="005C510B">
              <w:rPr>
                <w:rFonts w:ascii="Calibri" w:eastAsia="MS Mincho" w:hAnsi="Calibri" w:cs="Times New Roman"/>
                <w:bCs/>
                <w:sz w:val="18"/>
                <w:lang w:eastAsia="ja-JP"/>
              </w:rPr>
              <w:t xml:space="preserve"> Ma na swym koncie liczne sukcesy w sporach podatkowych przed sądami administracyjnymi, występowała również kilkakrotnie jako pełnomocnik przed Trybunałem Sprawiedliwości Unii Europejskiej w sprawach dotyczących szeroko pojętego prawa finansowego (podatków, prawa rynku kapitałowego oraz polityki pieniężnej). Pracowała w doradztwie prawnym i podatkowym (w firmie z tzw. Wielkiej Czwórki oraz w renomowanych kancelariach prawnych), a także w administracji publicznej (Ministerstwo Spraw Zagranicznych, Departament Prawa Unii Europejskiej), ostatnio na stanowisku Zastępcy Dyrektora Departamentu. Podczas pracy w MSZ m.in. uczestniczyła w procesie legislacyjnym w zakresie podatków i finansów oraz w sporach z Komisją Europejską w tym obszarze.</w:t>
            </w:r>
          </w:p>
          <w:p w:rsidR="005C510B" w:rsidRPr="005C510B" w:rsidRDefault="005C510B" w:rsidP="005C510B">
            <w:pPr>
              <w:spacing w:before="120"/>
              <w:ind w:left="317" w:right="423"/>
              <w:jc w:val="both"/>
              <w:rPr>
                <w:rFonts w:ascii="Calibri" w:eastAsia="MS Mincho" w:hAnsi="Calibri" w:cs="Times New Roman"/>
                <w:bCs/>
                <w:sz w:val="18"/>
                <w:lang w:eastAsia="ja-JP"/>
              </w:rPr>
            </w:pPr>
            <w:r w:rsidRPr="005C510B">
              <w:rPr>
                <w:rFonts w:ascii="Calibri" w:eastAsia="MS Mincho" w:hAnsi="Calibri" w:cs="Times New Roman"/>
                <w:b/>
                <w:bCs/>
                <w:sz w:val="18"/>
                <w:lang w:eastAsia="ja-JP"/>
              </w:rPr>
              <w:t>Wykształcenie:</w:t>
            </w:r>
            <w:r w:rsidRPr="005C510B">
              <w:rPr>
                <w:rFonts w:ascii="Calibri" w:eastAsia="MS Mincho" w:hAnsi="Calibri" w:cs="Times New Roman"/>
                <w:bCs/>
                <w:sz w:val="18"/>
                <w:lang w:eastAsia="ja-JP"/>
              </w:rPr>
              <w:t xml:space="preserve"> Absolwentka Wydziału Prawa i Administracji Uniwersytetu Warszawskiego oraz francuskojęzycznych studiów w zakresie francuskiego i europejskiego prawa handlowego („Master </w:t>
            </w:r>
            <w:r w:rsidRPr="005C510B">
              <w:rPr>
                <w:rFonts w:ascii="Calibri" w:eastAsia="MS Mincho" w:hAnsi="Calibri" w:cs="Times New Roman"/>
                <w:bCs/>
                <w:i/>
                <w:iCs/>
                <w:sz w:val="18"/>
                <w:lang w:eastAsia="ja-JP"/>
              </w:rPr>
              <w:t>2 du droit des affaires français et européen”</w:t>
            </w:r>
            <w:r w:rsidRPr="005C510B">
              <w:rPr>
                <w:rFonts w:ascii="Calibri" w:eastAsia="MS Mincho" w:hAnsi="Calibri" w:cs="Times New Roman"/>
                <w:bCs/>
                <w:sz w:val="18"/>
                <w:lang w:eastAsia="ja-JP"/>
              </w:rPr>
              <w:t>).</w:t>
            </w:r>
          </w:p>
          <w:p w:rsidR="008B3EE3" w:rsidRPr="00C441BF" w:rsidRDefault="008B3EE3" w:rsidP="005C510B">
            <w:pPr>
              <w:spacing w:before="120"/>
              <w:ind w:right="423"/>
              <w:jc w:val="both"/>
              <w:rPr>
                <w:rFonts w:ascii="Calibri" w:eastAsia="MS Mincho" w:hAnsi="Calibri" w:cs="Times New Roman"/>
                <w:bCs/>
                <w:sz w:val="18"/>
                <w:lang w:eastAsia="ja-JP"/>
              </w:rPr>
            </w:pPr>
          </w:p>
          <w:p w:rsidR="002774DB" w:rsidRPr="00C441BF" w:rsidRDefault="005C510B" w:rsidP="008B3EE3">
            <w:pPr>
              <w:spacing w:before="120"/>
              <w:ind w:right="423"/>
              <w:jc w:val="both"/>
              <w:rPr>
                <w:rFonts w:ascii="Calibri" w:hAnsi="Calibri"/>
              </w:rPr>
            </w:pPr>
            <w:r>
              <w:rPr>
                <w:rFonts w:ascii="Calibri" w:eastAsia="MS Mincho" w:hAnsi="Calibri" w:cs="Times New Roman"/>
                <w:bCs/>
                <w:sz w:val="18"/>
                <w:lang w:eastAsia="ja-JP"/>
              </w:rPr>
              <w:t>a</w:t>
            </w:r>
            <w:r w:rsidR="002774DB" w:rsidRPr="00C441BF">
              <w:rPr>
                <w:rFonts w:ascii="Calibri" w:eastAsia="MS Mincho" w:hAnsi="Calibri" w:cs="Times New Roman"/>
                <w:bCs/>
                <w:sz w:val="18"/>
                <w:lang w:eastAsia="ja-JP"/>
              </w:rPr>
              <w:t>dwokat, senior Associate w Kancelarii DFL, od wielu lat związany z branżą wyrobów medycznych. Jego doświadczenie obejmuje kompleksowe doradztwo dla firm wyrobowych, m.in. w zakresie działań promocyjnych i reklamowych, spraw związanych z nadzorem nad obrotem wyrobami medycznymi, czy kwestii odnoszących się do zagadnień compliance i zarządzania ryzykiem prawnym w spółkach. Prowadził liczne audyty wewnętrzne w firmach medycznych. Posiada doświadczenie szkoleniowe, m.in. w zakresie postępowania w ramach kontroli organów (WIF, URPL, NFZ). Reprezentuje Klientów w postępowaniach administracyjnych i cywilnych – np. w zakresie sporów z Narodowym Funduszem Zdrowia i w sprawach dotyczących zezwolenia na prowadzenie działalności regulowanej.</w:t>
            </w:r>
          </w:p>
        </w:tc>
      </w:tr>
      <w:tr w:rsidR="002774DB" w:rsidRPr="00F461F1" w:rsidTr="0017328D">
        <w:trPr>
          <w:trHeight w:val="360"/>
        </w:trPr>
        <w:tc>
          <w:tcPr>
            <w:tcW w:w="2659" w:type="dxa"/>
            <w:tcBorders>
              <w:right w:val="single" w:sz="12" w:space="0" w:color="6D0A31"/>
            </w:tcBorders>
          </w:tcPr>
          <w:p w:rsidR="002774DB" w:rsidRPr="00317E8E" w:rsidRDefault="002774DB" w:rsidP="00FD2189">
            <w:pPr>
              <w:jc w:val="right"/>
              <w:rPr>
                <w:rFonts w:ascii="Lato Regular" w:eastAsia="MS Mincho" w:hAnsi="Lato Regular" w:cs="Arial"/>
                <w:b/>
                <w:color w:val="6D0A31"/>
                <w:sz w:val="26"/>
                <w:lang w:eastAsia="ja-JP"/>
              </w:rPr>
            </w:pPr>
          </w:p>
        </w:tc>
        <w:tc>
          <w:tcPr>
            <w:tcW w:w="6483" w:type="dxa"/>
            <w:tcBorders>
              <w:left w:val="single" w:sz="12" w:space="0" w:color="6D0A31"/>
            </w:tcBorders>
          </w:tcPr>
          <w:p w:rsidR="002774DB" w:rsidRPr="004C5939" w:rsidRDefault="002774DB" w:rsidP="0017328D">
            <w:pPr>
              <w:tabs>
                <w:tab w:val="left" w:pos="347"/>
              </w:tabs>
              <w:spacing w:before="120"/>
              <w:ind w:right="423"/>
              <w:jc w:val="both"/>
              <w:rPr>
                <w:rFonts w:ascii="Lato Light" w:eastAsia="MS Mincho" w:hAnsi="Lato Light" w:cs="Times New Roman"/>
                <w:bCs/>
                <w:sz w:val="20"/>
                <w:lang w:eastAsia="ja-JP"/>
              </w:rPr>
            </w:pPr>
          </w:p>
        </w:tc>
      </w:tr>
    </w:tbl>
    <w:p w:rsidR="002774DB" w:rsidRDefault="002774DB" w:rsidP="0017328D"/>
    <w:sectPr w:rsidR="002774DB" w:rsidSect="0017328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1F" w:rsidRDefault="0075701F" w:rsidP="00FA6BB2">
      <w:pPr>
        <w:spacing w:after="0" w:line="240" w:lineRule="auto"/>
      </w:pPr>
      <w:r>
        <w:separator/>
      </w:r>
    </w:p>
  </w:endnote>
  <w:endnote w:type="continuationSeparator" w:id="0">
    <w:p w:rsidR="0075701F" w:rsidRDefault="0075701F" w:rsidP="00FA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Light">
    <w:altName w:val="Calibri"/>
    <w:charset w:val="00"/>
    <w:family w:val="auto"/>
    <w:pitch w:val="variable"/>
    <w:sig w:usb0="00000001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Lato Regular">
    <w:altName w:val="Calibri"/>
    <w:charset w:val="00"/>
    <w:family w:val="auto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1F" w:rsidRDefault="0075701F" w:rsidP="00FA6BB2">
      <w:pPr>
        <w:spacing w:after="0" w:line="240" w:lineRule="auto"/>
      </w:pPr>
      <w:r>
        <w:separator/>
      </w:r>
    </w:p>
  </w:footnote>
  <w:footnote w:type="continuationSeparator" w:id="0">
    <w:p w:rsidR="0075701F" w:rsidRDefault="0075701F" w:rsidP="00FA6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6EA"/>
    <w:multiLevelType w:val="hybridMultilevel"/>
    <w:tmpl w:val="BEA679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B2B8A"/>
    <w:multiLevelType w:val="hybridMultilevel"/>
    <w:tmpl w:val="FD60132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4694636"/>
    <w:multiLevelType w:val="hybridMultilevel"/>
    <w:tmpl w:val="CA280AB8"/>
    <w:lvl w:ilvl="0" w:tplc="912A63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D32FA9"/>
    <w:multiLevelType w:val="hybridMultilevel"/>
    <w:tmpl w:val="4F5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7266"/>
    <w:multiLevelType w:val="hybridMultilevel"/>
    <w:tmpl w:val="E4B4544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EB5005D"/>
    <w:multiLevelType w:val="hybridMultilevel"/>
    <w:tmpl w:val="2406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96E1A"/>
    <w:multiLevelType w:val="hybridMultilevel"/>
    <w:tmpl w:val="68B4253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F3"/>
    <w:rsid w:val="00016118"/>
    <w:rsid w:val="000266B0"/>
    <w:rsid w:val="000A3BCB"/>
    <w:rsid w:val="0017328D"/>
    <w:rsid w:val="001C3ABD"/>
    <w:rsid w:val="00243BBB"/>
    <w:rsid w:val="002774DB"/>
    <w:rsid w:val="002A4E81"/>
    <w:rsid w:val="00317E82"/>
    <w:rsid w:val="00317E8E"/>
    <w:rsid w:val="00326BAB"/>
    <w:rsid w:val="003607A6"/>
    <w:rsid w:val="00362332"/>
    <w:rsid w:val="004C5939"/>
    <w:rsid w:val="00516CF6"/>
    <w:rsid w:val="005C510B"/>
    <w:rsid w:val="006A2CE3"/>
    <w:rsid w:val="0075701F"/>
    <w:rsid w:val="00884641"/>
    <w:rsid w:val="008B3EE3"/>
    <w:rsid w:val="00A232B4"/>
    <w:rsid w:val="00A30874"/>
    <w:rsid w:val="00C139F3"/>
    <w:rsid w:val="00C441BF"/>
    <w:rsid w:val="00C64299"/>
    <w:rsid w:val="00D70098"/>
    <w:rsid w:val="00D84820"/>
    <w:rsid w:val="00DC00DD"/>
    <w:rsid w:val="00DE3917"/>
    <w:rsid w:val="00ED6AC1"/>
    <w:rsid w:val="00F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DAAE8-69F7-420A-9919-E289C225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1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1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B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B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B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32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3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28D"/>
  </w:style>
  <w:style w:type="paragraph" w:styleId="Stopka">
    <w:name w:val="footer"/>
    <w:basedOn w:val="Normalny"/>
    <w:link w:val="StopkaZnak"/>
    <w:uiPriority w:val="99"/>
    <w:unhideWhenUsed/>
    <w:rsid w:val="00173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28D"/>
  </w:style>
  <w:style w:type="paragraph" w:styleId="Akapitzlist">
    <w:name w:val="List Paragraph"/>
    <w:basedOn w:val="Normalny"/>
    <w:uiPriority w:val="34"/>
    <w:qFormat/>
    <w:rsid w:val="008B3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polmed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Świdrak</dc:creator>
  <cp:lastModifiedBy>Katarzyna Radziejewska</cp:lastModifiedBy>
  <cp:revision>8</cp:revision>
  <dcterms:created xsi:type="dcterms:W3CDTF">2017-07-31T18:31:00Z</dcterms:created>
  <dcterms:modified xsi:type="dcterms:W3CDTF">2017-11-14T12:45:00Z</dcterms:modified>
</cp:coreProperties>
</file>